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240" w:after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Добровольное согласи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е законного представителя на виды медицинских вмешательств </w:t>
        <w:br/>
        <w:t>в отношении несовершеннолетнего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далее – (Законный представитель) даю своё согласие на виды медицинских вмешательств</w:t>
        <w:br/>
        <w:t>в отношении несовершеннолетнего: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(далее – Несовершеннолетний) в следующем объёме.</w:t>
      </w:r>
    </w:p>
    <w:p>
      <w:pPr>
        <w:pStyle w:val="Style22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Даю информированное добровольное согласие на виды медицинских вмешательств, включённые в </w:t>
      </w:r>
      <w:hyperlink r:id="rId2">
        <w:r>
          <w:rPr>
            <w:rFonts w:cs="Times New Roman" w:ascii="Times New Roman" w:hAnsi="Times New Roman"/>
            <w:b w:val="false"/>
            <w:color w:val="auto"/>
            <w:sz w:val="22"/>
            <w:szCs w:val="22"/>
          </w:rPr>
          <w:t>Перечень</w:t>
        </w:r>
      </w:hyperlink>
      <w:r>
        <w:rPr>
          <w:rFonts w:cs="Times New Roman" w:ascii="Times New Roman" w:hAnsi="Times New Roman"/>
        </w:rPr>
        <w:t xml:space="preserve">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 </w:t>
        <w:br/>
        <w:t xml:space="preserve">для получения первичной медико-санитарной помощи, утверждённый </w:t>
      </w:r>
      <w:hyperlink r:id="rId3">
        <w:r>
          <w:rPr>
            <w:rFonts w:cs="Times New Roman" w:ascii="Times New Roman" w:hAnsi="Times New Roman"/>
            <w:b w:val="false"/>
            <w:color w:val="auto"/>
            <w:sz w:val="22"/>
            <w:szCs w:val="22"/>
          </w:rPr>
          <w:t>приказом</w:t>
        </w:r>
      </w:hyperlink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Министерства здравоохранения и социального развития Российской Федерации от 23 апреля 2012 г. № 390н,</w:t>
        <w:br/>
        <w:t>для получения первичной медико-санитарной помощи Несовершеннолетним.</w:t>
      </w:r>
    </w:p>
    <w:p>
      <w:pPr>
        <w:pStyle w:val="Normal"/>
        <w:spacing w:before="0" w:after="0"/>
        <w:ind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ним, в частности, отнесены: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1.</w:t>
        <w:tab/>
        <w:t>опрос, в том числе выявление жалоб, сбор анамнеза;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2.</w:t>
        <w:tab/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3.</w:t>
        <w:tab/>
        <w:t>антропометрические исследования;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4.</w:t>
        <w:tab/>
        <w:t>термометрия;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5.</w:t>
        <w:tab/>
        <w:t>тонометрия;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6.</w:t>
        <w:tab/>
        <w:t>неинвазивные исследования органа зрения и зрительных функций;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7.</w:t>
        <w:tab/>
        <w:t>неинвазивные исследования органа слуха и слуховых функций;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8.</w:t>
        <w:tab/>
        <w:t>исследование функций нервной системы (чувствительной и двигательной сферы);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9.</w:t>
        <w:tab/>
        <w:t>лабораторные методы обследования, в том числе клинические, биохимические, бактериологические, вирусологические, иммунологические;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10.</w:t>
        <w:tab/>
        <w:t>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11.</w:t>
        <w:tab/>
        <w:t>рентгенологические методы обследования и рентгенография, ультразвуковые исследования, допплерографические исследования;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12.</w:t>
        <w:tab/>
        <w:t>введение лекарственных препаратов по назначению врача, в том числе внутримышечно, внутривенно, подкожно, внутрикожно;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13.</w:t>
        <w:tab/>
        <w:t>медицинский массаж;</w:t>
      </w:r>
    </w:p>
    <w:p>
      <w:pPr>
        <w:pStyle w:val="Normal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14.</w:t>
        <w:tab/>
        <w:t>лечебная физкультура.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eastAsia="Calibri"/>
        </w:rPr>
      </w:pPr>
      <w:r>
        <w:rPr>
          <w:rFonts w:eastAsia="Calibri" w:eastAsiaTheme="minorHAnsi" w:ascii="Times New Roman" w:hAnsi="Times New Roman"/>
        </w:rPr>
      </w:r>
    </w:p>
    <w:p>
      <w:pPr>
        <w:pStyle w:val="Style22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Мне разъяснено, что я имею право отказаться от одного или нескольких видов медицинских вмешательств или потребовать его (их) прекращения.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755"/>
        <w:gridCol w:w="7165"/>
      </w:tblGrid>
      <w:tr>
        <w:trPr/>
        <w:tc>
          <w:tcPr>
            <w:tcW w:w="9920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«___»___________</w:t>
            </w:r>
            <w:r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  <w:lang w:val="en-US"/>
              </w:rPr>
              <w:t>_</w:t>
            </w:r>
            <w:r>
              <w:rPr>
                <w:rFonts w:ascii="Times New Roman" w:hAnsi="Times New Roman"/>
              </w:rPr>
              <w:t xml:space="preserve"> 20__</w:t>
            </w:r>
            <w:r>
              <w:rPr>
                <w:rFonts w:ascii="Times New Roman" w:hAnsi="Times New Roman"/>
                <w:lang w:val="en-US"/>
              </w:rPr>
              <w:t>__</w:t>
            </w:r>
            <w:r>
              <w:rPr>
                <w:rFonts w:ascii="Times New Roman" w:hAnsi="Times New Roman"/>
              </w:rPr>
              <w:t>г.</w:t>
            </w:r>
          </w:p>
        </w:tc>
      </w:tr>
      <w:tr>
        <w:trPr>
          <w:trHeight w:val="145" w:hRule="atLeast"/>
        </w:trPr>
        <w:tc>
          <w:tcPr>
            <w:tcW w:w="9920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920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5" w:hRule="atLeast"/>
        </w:trPr>
        <w:tc>
          <w:tcPr>
            <w:tcW w:w="9920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 /________________________________________________________</w:t>
            </w:r>
          </w:p>
        </w:tc>
      </w:tr>
      <w:tr>
        <w:trPr/>
        <w:tc>
          <w:tcPr>
            <w:tcW w:w="27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716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28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(инициалы, фамилия)</w:t>
            </w:r>
          </w:p>
        </w:tc>
      </w:tr>
    </w:tbl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spacing w:before="0" w:after="200"/>
        <w:rPr>
          <w:lang w:eastAsia="ru-RU"/>
        </w:rPr>
      </w:pPr>
      <w:r>
        <w:rPr/>
      </w:r>
    </w:p>
    <w:p>
      <w:pPr>
        <w:pStyle w:val="Normal"/>
        <w:spacing w:lineRule="auto" w:line="240" w:before="240" w:after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Добровольное согласие на виды медицинских вмешательств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Я, 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>
      <w:pPr>
        <w:pStyle w:val="Style22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Даю информированное добровольное согласие на виды медицинских вмешательств, включённые в </w:t>
      </w:r>
      <w:hyperlink r:id="rId4">
        <w:r>
          <w:rPr>
            <w:rFonts w:cs="Times New Roman" w:ascii="Times New Roman" w:hAnsi="Times New Roman"/>
            <w:b w:val="false"/>
            <w:color w:val="auto"/>
            <w:sz w:val="22"/>
            <w:szCs w:val="22"/>
          </w:rPr>
          <w:t>Перечень</w:t>
        </w:r>
      </w:hyperlink>
      <w:r>
        <w:rPr>
          <w:rFonts w:cs="Times New Roman" w:ascii="Times New Roman" w:hAnsi="Times New Roman"/>
        </w:rPr>
        <w:t xml:space="preserve"> определённых видов медицинских вмешательств, на которые граждане дают информированное добровольное согласие при выборе врача и медицинской организации</w:t>
        <w:br/>
        <w:t xml:space="preserve">для получения первичной медико-санитарной помощи, утверждённый </w:t>
      </w:r>
      <w:hyperlink r:id="rId5">
        <w:r>
          <w:rPr>
            <w:rFonts w:cs="Times New Roman" w:ascii="Times New Roman" w:hAnsi="Times New Roman"/>
            <w:b w:val="false"/>
            <w:color w:val="auto"/>
            <w:sz w:val="22"/>
            <w:szCs w:val="22"/>
          </w:rPr>
          <w:t>приказом</w:t>
        </w:r>
      </w:hyperlink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Министерства здравоохранения и социального развития Российской Федерации от 23 апреля 2012 г. № 390н, </w:t>
        <w:br/>
        <w:t>для получения первичной медико-санитарной помощи.</w:t>
      </w:r>
    </w:p>
    <w:p>
      <w:pPr>
        <w:pStyle w:val="Normal"/>
        <w:spacing w:before="0" w:after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ab/>
        <w:t>К ним, в частности, отнесены: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1.</w:t>
        <w:tab/>
        <w:t>опрос, в том числе выявление жалоб, сбор анамнеза;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2.</w:t>
        <w:tab/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3.</w:t>
        <w:tab/>
        <w:t>антропометрические исследования;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4.</w:t>
        <w:tab/>
        <w:t>термометрия;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5.</w:t>
        <w:tab/>
        <w:t>тонометрия;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6.</w:t>
        <w:tab/>
        <w:t>неинвазивные исследования органа зрения и зрительных функций;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7.</w:t>
        <w:tab/>
        <w:t>неинвазивные исследования органа слуха и слуховых функций;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8.</w:t>
        <w:tab/>
        <w:t>исследование функций нервной системы (чувствительной и двигательной сферы);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9.</w:t>
        <w:tab/>
        <w:t>лабораторные методы обследования, в том числе клинические, биохимические, бактериологические, вирусологические, иммунологические;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10.</w:t>
        <w:tab/>
        <w:t>функциональные методы обследования, в том числе электрокардиография,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11.</w:t>
        <w:tab/>
        <w:t xml:space="preserve">рентгенологические методы обследования, в том числе флюорография (для лиц старше </w:t>
        <w:br/>
        <w:t>15 лет) и рентгенография, ультразвуковые исследования, допплерографические исследования;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12.</w:t>
        <w:tab/>
        <w:t>введение лекарственных препаратов по назначению врача, в том числе внутримышечно, внутривенно, подкожно, внутрикожно;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13.</w:t>
        <w:tab/>
        <w:t>медицинский массаж;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/>
        </w:rPr>
      </w:pPr>
      <w:r>
        <w:rPr>
          <w:rFonts w:eastAsia="Calibri" w:ascii="Times New Roman" w:hAnsi="Times New Roman" w:eastAsiaTheme="minorHAnsi"/>
        </w:rPr>
        <w:t>14.</w:t>
        <w:tab/>
        <w:t>лечебная физкультура.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40"/>
        <w:jc w:val="both"/>
        <w:outlineLvl w:val="0"/>
        <w:rPr>
          <w:rFonts w:ascii="Times New Roman" w:hAnsi="Times New Roman" w:eastAsia="Calibri"/>
        </w:rPr>
      </w:pPr>
      <w:r>
        <w:rPr>
          <w:rFonts w:eastAsia="Calibri" w:eastAsiaTheme="minorHAnsi" w:ascii="Times New Roman" w:hAnsi="Times New Roman"/>
        </w:rPr>
      </w:r>
    </w:p>
    <w:p>
      <w:pPr>
        <w:pStyle w:val="Style22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Мне разъяснено, что я имею право отказаться от одного или нескольких видов медицинских вмешательств или потребовать его (их) прекращения.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755"/>
        <w:gridCol w:w="7165"/>
      </w:tblGrid>
      <w:tr>
        <w:trPr/>
        <w:tc>
          <w:tcPr>
            <w:tcW w:w="9920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lineRule="auto" w:line="240" w:before="0"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lineRule="auto" w:line="240" w:before="0" w:after="0"/>
              <w:ind w:firstLine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«___»___________</w:t>
            </w:r>
            <w:r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  <w:lang w:val="en-US"/>
              </w:rPr>
              <w:t>_</w:t>
            </w:r>
            <w:r>
              <w:rPr>
                <w:rFonts w:ascii="Times New Roman" w:hAnsi="Times New Roman"/>
              </w:rPr>
              <w:t xml:space="preserve"> 20__</w:t>
            </w:r>
            <w:r>
              <w:rPr>
                <w:rFonts w:ascii="Times New Roman" w:hAnsi="Times New Roman"/>
                <w:lang w:val="en-US"/>
              </w:rPr>
              <w:t>__</w:t>
            </w:r>
            <w:r>
              <w:rPr>
                <w:rFonts w:ascii="Times New Roman" w:hAnsi="Times New Roman"/>
              </w:rPr>
              <w:t>г.</w:t>
            </w:r>
          </w:p>
        </w:tc>
      </w:tr>
      <w:tr>
        <w:trPr/>
        <w:tc>
          <w:tcPr>
            <w:tcW w:w="9920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lineRule="auto" w:line="240" w:before="0"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920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lineRule="auto" w:line="240" w:before="0"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/________________________________________________________</w:t>
            </w:r>
          </w:p>
        </w:tc>
      </w:tr>
      <w:tr>
        <w:trPr>
          <w:trHeight w:val="80" w:hRule="atLeast"/>
        </w:trPr>
        <w:tc>
          <w:tcPr>
            <w:tcW w:w="275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lineRule="auto" w:line="240" w:before="0" w:after="0"/>
              <w:ind w:firstLine="42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(подпись)</w:t>
            </w:r>
          </w:p>
        </w:tc>
        <w:tc>
          <w:tcPr>
            <w:tcW w:w="716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lineRule="auto" w:line="240" w:before="0" w:after="0"/>
              <w:ind w:firstLine="426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(инициалы, фамилия)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8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 Sans"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4fc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uiPriority w:val="99"/>
    <w:qFormat/>
    <w:rsid w:val="00d14fc7"/>
    <w:rPr>
      <w:b/>
      <w:bCs/>
      <w:color w:val="106BBE"/>
      <w:sz w:val="26"/>
      <w:szCs w:val="26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fd6f58"/>
    <w:rPr>
      <w:rFonts w:ascii="Segoe UI" w:hAnsi="Segoe UI" w:eastAsia="Calibri" w:cs="Segoe UI"/>
      <w:sz w:val="18"/>
      <w:szCs w:val="18"/>
    </w:rPr>
  </w:style>
  <w:style w:type="character" w:styleId="Style16">
    <w:name w:val="Hyperlink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2" w:customStyle="1">
    <w:name w:val="Таблицы (моноширинный)"/>
    <w:basedOn w:val="Normal"/>
    <w:next w:val="Normal"/>
    <w:uiPriority w:val="99"/>
    <w:qFormat/>
    <w:rsid w:val="00d14fc7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fd6f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garantf1://70072996.1000" TargetMode="External"/><Relationship Id="rId3" Type="http://schemas.openxmlformats.org/officeDocument/2006/relationships/hyperlink" Target="garantf1://70072996.0" TargetMode="External"/><Relationship Id="rId4" Type="http://schemas.openxmlformats.org/officeDocument/2006/relationships/hyperlink" Target="garantf1://70072996.1000" TargetMode="External"/><Relationship Id="rId5" Type="http://schemas.openxmlformats.org/officeDocument/2006/relationships/hyperlink" Target="garantf1://70072996.0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LibreOffice/7.4.4.2$Linux_X86_64 LibreOffice_project/40$Build-2</Application>
  <AppVersion>15.0000</AppVersion>
  <Pages>2</Pages>
  <Words>553</Words>
  <Characters>5329</Characters>
  <CharactersWithSpaces>5835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2022-06-27T11:47:00Z</dcterms:created>
  <dc:creator>54-83</dc:creator>
  <dc:description/>
  <dc:language>ru-RU</dc:language>
  <cp:lastModifiedBy/>
  <cp:lastPrinted>2022-06-27T11:46:00Z</cp:lastPrinted>
  <dcterms:modified xsi:type="dcterms:W3CDTF">2023-08-11T08:56:09Z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